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5" w:type="dxa"/>
        <w:jc w:val="center"/>
        <w:tblBorders>
          <w:top w:val="single" w:sz="4" w:space="0" w:color="00000A"/>
          <w:left w:val="single" w:sz="4" w:space="0" w:color="00000A"/>
          <w:bottom w:val="double" w:sz="4" w:space="0" w:color="00000A"/>
          <w:right w:val="single" w:sz="4" w:space="0" w:color="00000A"/>
          <w:insideH w:val="double" w:sz="4" w:space="0" w:color="00000A"/>
          <w:insideV w:val="single" w:sz="4" w:space="0" w:color="00000A"/>
        </w:tblBorders>
        <w:tblCellMar>
          <w:left w:w="85" w:type="dxa"/>
          <w:right w:w="85" w:type="dxa"/>
        </w:tblCellMar>
        <w:tblLook w:val="01E0" w:firstRow="1" w:lastRow="1" w:firstColumn="1" w:lastColumn="1" w:noHBand="0" w:noVBand="0"/>
      </w:tblPr>
      <w:tblGrid>
        <w:gridCol w:w="3992"/>
        <w:gridCol w:w="1836"/>
        <w:gridCol w:w="757"/>
        <w:gridCol w:w="705"/>
        <w:gridCol w:w="1546"/>
        <w:gridCol w:w="1179"/>
      </w:tblGrid>
      <w:tr w:rsidR="004E3310" w:rsidTr="0098030B">
        <w:trPr>
          <w:jc w:val="center"/>
        </w:trPr>
        <w:tc>
          <w:tcPr>
            <w:tcW w:w="10015" w:type="dxa"/>
            <w:gridSpan w:val="6"/>
            <w:tcBorders>
              <w:top w:val="single" w:sz="4" w:space="0" w:color="00000A"/>
              <w:left w:val="single" w:sz="4" w:space="0" w:color="00000A"/>
              <w:bottom w:val="double" w:sz="4" w:space="0" w:color="00000A"/>
              <w:right w:val="single" w:sz="4" w:space="0" w:color="00000A"/>
            </w:tcBorders>
            <w:shd w:val="clear" w:color="auto" w:fill="BDD6EE"/>
          </w:tcPr>
          <w:p w:rsidR="004E3310" w:rsidRDefault="00183E3D">
            <w:pPr>
              <w:jc w:val="both"/>
              <w:rPr>
                <w:b/>
                <w:sz w:val="28"/>
              </w:rPr>
            </w:pPr>
            <w:r>
              <w:rPr>
                <w:b/>
                <w:sz w:val="28"/>
              </w:rPr>
              <w:t>B-III – Charakteristika studijního předmětu</w:t>
            </w:r>
          </w:p>
        </w:tc>
      </w:tr>
      <w:tr w:rsidR="004E3310" w:rsidTr="007A2321">
        <w:trPr>
          <w:trHeight w:val="340"/>
          <w:jc w:val="center"/>
        </w:trPr>
        <w:tc>
          <w:tcPr>
            <w:tcW w:w="3992" w:type="dxa"/>
            <w:tcBorders>
              <w:top w:val="double" w:sz="4" w:space="0" w:color="00000A"/>
              <w:left w:val="single" w:sz="4" w:space="0" w:color="00000A"/>
              <w:bottom w:val="single" w:sz="4" w:space="0" w:color="00000A"/>
              <w:right w:val="single" w:sz="4" w:space="0" w:color="00000A"/>
            </w:tcBorders>
            <w:shd w:val="clear" w:color="auto" w:fill="F7CAAC"/>
            <w:vAlign w:val="center"/>
          </w:tcPr>
          <w:p w:rsidR="004E3310" w:rsidRPr="007A2321" w:rsidRDefault="00183E3D" w:rsidP="007A2321">
            <w:pPr>
              <w:rPr>
                <w:b/>
              </w:rPr>
            </w:pPr>
            <w:r w:rsidRPr="007A2321">
              <w:rPr>
                <w:b/>
              </w:rPr>
              <w:t>Název studijního předmětu</w:t>
            </w:r>
          </w:p>
        </w:tc>
        <w:tc>
          <w:tcPr>
            <w:tcW w:w="6023" w:type="dxa"/>
            <w:gridSpan w:val="5"/>
            <w:tcBorders>
              <w:top w:val="double" w:sz="4" w:space="0" w:color="00000A"/>
              <w:left w:val="single" w:sz="4" w:space="0" w:color="00000A"/>
              <w:bottom w:val="single" w:sz="4" w:space="0" w:color="00000A"/>
              <w:right w:val="single" w:sz="4" w:space="0" w:color="00000A"/>
            </w:tcBorders>
            <w:shd w:val="clear" w:color="auto" w:fill="auto"/>
            <w:vAlign w:val="center"/>
          </w:tcPr>
          <w:p w:rsidR="004E3310" w:rsidRPr="007A2321" w:rsidRDefault="00183E3D" w:rsidP="007A2321">
            <w:r w:rsidRPr="007A2321">
              <w:t>Stochastické systémy</w:t>
            </w:r>
          </w:p>
        </w:tc>
      </w:tr>
      <w:tr w:rsidR="0098030B" w:rsidTr="007A2321">
        <w:trPr>
          <w:trHeight w:val="340"/>
          <w:jc w:val="center"/>
        </w:trPr>
        <w:tc>
          <w:tcPr>
            <w:tcW w:w="3992"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4E3310" w:rsidRPr="007A2321" w:rsidRDefault="00183E3D" w:rsidP="007A2321">
            <w:pPr>
              <w:rPr>
                <w:b/>
              </w:rPr>
            </w:pPr>
            <w:r w:rsidRPr="007A2321">
              <w:rPr>
                <w:b/>
              </w:rPr>
              <w:t>Typ předmětu</w:t>
            </w:r>
          </w:p>
        </w:tc>
        <w:tc>
          <w:tcPr>
            <w:tcW w:w="1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3310" w:rsidRPr="007A2321" w:rsidRDefault="0098030B" w:rsidP="007A2321">
            <w:r w:rsidRPr="007A2321">
              <w:t>Povinně volitelný</w:t>
            </w:r>
          </w:p>
        </w:tc>
        <w:tc>
          <w:tcPr>
            <w:tcW w:w="3008" w:type="dxa"/>
            <w:gridSpan w:val="3"/>
            <w:tcBorders>
              <w:top w:val="single" w:sz="4" w:space="0" w:color="00000A"/>
              <w:left w:val="single" w:sz="4" w:space="0" w:color="00000A"/>
              <w:bottom w:val="single" w:sz="4" w:space="0" w:color="00000A"/>
              <w:right w:val="single" w:sz="4" w:space="0" w:color="00000A"/>
            </w:tcBorders>
            <w:shd w:val="clear" w:color="auto" w:fill="F7CAAC"/>
            <w:vAlign w:val="center"/>
          </w:tcPr>
          <w:p w:rsidR="004E3310" w:rsidRPr="007A2321" w:rsidRDefault="0098030B" w:rsidP="007A2321">
            <w:r w:rsidRPr="007A2321">
              <w:rPr>
                <w:b/>
              </w:rPr>
              <w:t>D</w:t>
            </w:r>
            <w:r w:rsidR="00183E3D" w:rsidRPr="007A2321">
              <w:rPr>
                <w:b/>
              </w:rPr>
              <w:t>oporučený ročník / semestr</w:t>
            </w:r>
          </w:p>
        </w:tc>
        <w:tc>
          <w:tcPr>
            <w:tcW w:w="1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3310" w:rsidRPr="007A2321" w:rsidRDefault="004E3310" w:rsidP="007A2321"/>
        </w:tc>
      </w:tr>
      <w:tr w:rsidR="0098030B" w:rsidTr="007A2321">
        <w:trPr>
          <w:trHeight w:val="340"/>
          <w:jc w:val="center"/>
        </w:trPr>
        <w:tc>
          <w:tcPr>
            <w:tcW w:w="3992"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Rozsah studijního předmětu</w:t>
            </w:r>
          </w:p>
        </w:tc>
        <w:tc>
          <w:tcPr>
            <w:tcW w:w="1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26p</w:t>
            </w:r>
          </w:p>
        </w:tc>
        <w:tc>
          <w:tcPr>
            <w:tcW w:w="757"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 xml:space="preserve">Hodin </w:t>
            </w:r>
          </w:p>
        </w:tc>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26</w:t>
            </w:r>
          </w:p>
        </w:tc>
        <w:tc>
          <w:tcPr>
            <w:tcW w:w="1546"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Kreditů</w:t>
            </w:r>
          </w:p>
        </w:tc>
        <w:tc>
          <w:tcPr>
            <w:tcW w:w="1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Prerekvizity, korekvizity, ekvivalence</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pPr>
              <w:rPr>
                <w:b/>
              </w:rPr>
            </w:pPr>
            <w:r w:rsidRPr="007A2321">
              <w:rPr>
                <w:b/>
              </w:rPr>
              <w:t xml:space="preserve">Prerekvizity </w:t>
            </w:r>
            <w:r w:rsidRPr="007A2321">
              <w:t>Znalosti základů funkcionální analýzy, rovnic matematické fyziky, variačních metod a základů matematických metod v dynamice kontinua</w:t>
            </w:r>
          </w:p>
        </w:tc>
      </w:tr>
      <w:tr w:rsidR="0098030B" w:rsidTr="007A2321">
        <w:trPr>
          <w:trHeight w:val="340"/>
          <w:jc w:val="center"/>
        </w:trPr>
        <w:tc>
          <w:tcPr>
            <w:tcW w:w="3992"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Způsob ověření studijních výsledků</w:t>
            </w:r>
          </w:p>
        </w:tc>
        <w:tc>
          <w:tcPr>
            <w:tcW w:w="1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Zkouška</w:t>
            </w:r>
          </w:p>
        </w:tc>
        <w:tc>
          <w:tcPr>
            <w:tcW w:w="1462" w:type="dxa"/>
            <w:gridSpan w:val="2"/>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Forma výuky</w:t>
            </w:r>
          </w:p>
        </w:tc>
        <w:tc>
          <w:tcPr>
            <w:tcW w:w="27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7A2321" w:rsidP="007A2321">
            <w:r>
              <w:t>Přednáška</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r w:rsidRPr="007A2321">
              <w:rPr>
                <w:b/>
              </w:rPr>
              <w:t>Forma způsobu ověření studijních výsledků a další požadavky na studenta</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98030B" w:rsidRPr="007A2321" w:rsidRDefault="0098030B" w:rsidP="007A2321">
            <w:r w:rsidRPr="007A2321">
              <w:t>Písemná a ústní zkouška</w:t>
            </w:r>
          </w:p>
        </w:tc>
      </w:tr>
      <w:tr w:rsidR="0098030B" w:rsidTr="007A2321">
        <w:trPr>
          <w:trHeight w:val="340"/>
          <w:jc w:val="center"/>
        </w:trPr>
        <w:tc>
          <w:tcPr>
            <w:tcW w:w="3992"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Garant předmětu</w:t>
            </w:r>
          </w:p>
        </w:tc>
        <w:tc>
          <w:tcPr>
            <w:tcW w:w="602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doc. RNDr. Jan Vybíral, Ph.D.</w:t>
            </w:r>
          </w:p>
        </w:tc>
      </w:tr>
      <w:tr w:rsidR="0098030B" w:rsidTr="007A2321">
        <w:trPr>
          <w:trHeight w:val="340"/>
          <w:jc w:val="center"/>
        </w:trPr>
        <w:tc>
          <w:tcPr>
            <w:tcW w:w="3992" w:type="dxa"/>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pPr>
              <w:rPr>
                <w:b/>
              </w:rPr>
            </w:pPr>
            <w:r w:rsidRPr="007A2321">
              <w:rPr>
                <w:b/>
              </w:rPr>
              <w:t>Zapojení garanta do výuky předmětu</w:t>
            </w:r>
          </w:p>
        </w:tc>
        <w:tc>
          <w:tcPr>
            <w:tcW w:w="602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Přednášející, zkoušející</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r w:rsidRPr="007A2321">
              <w:rPr>
                <w:b/>
              </w:rPr>
              <w:t>Vyučující</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r w:rsidRPr="007A2321">
              <w:t>doc. RNDr. Jan Vybíral, Ph.D.</w:t>
            </w:r>
          </w:p>
          <w:p w:rsidR="0098030B" w:rsidRPr="007A2321" w:rsidRDefault="0098030B" w:rsidP="007A2321">
            <w:r w:rsidRPr="007A2321">
              <w:t>Ing. Jiří Franc Ph.D.</w:t>
            </w:r>
          </w:p>
        </w:tc>
      </w:tr>
      <w:tr w:rsidR="0098030B" w:rsidTr="007A2321">
        <w:trPr>
          <w:trHeight w:val="340"/>
          <w:jc w:val="center"/>
        </w:trPr>
        <w:tc>
          <w:tcPr>
            <w:tcW w:w="10015" w:type="dxa"/>
            <w:gridSpan w:val="6"/>
            <w:tcBorders>
              <w:top w:val="single" w:sz="4" w:space="0" w:color="00000A"/>
              <w:left w:val="single" w:sz="4" w:space="0" w:color="00000A"/>
              <w:bottom w:val="single" w:sz="2" w:space="0" w:color="auto"/>
              <w:right w:val="single" w:sz="4" w:space="0" w:color="00000A"/>
            </w:tcBorders>
            <w:shd w:val="clear" w:color="auto" w:fill="F7CAAC"/>
            <w:vAlign w:val="center"/>
          </w:tcPr>
          <w:p w:rsidR="0098030B" w:rsidRPr="007A2321" w:rsidRDefault="0098030B" w:rsidP="007A2321">
            <w:r w:rsidRPr="007A2321">
              <w:rPr>
                <w:b/>
              </w:rPr>
              <w:t>Stručná anotace předmětu</w:t>
            </w:r>
          </w:p>
        </w:tc>
      </w:tr>
      <w:tr w:rsidR="0098030B" w:rsidTr="007A2321">
        <w:trPr>
          <w:trHeight w:val="5066"/>
          <w:jc w:val="center"/>
        </w:trPr>
        <w:tc>
          <w:tcPr>
            <w:tcW w:w="1001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98030B" w:rsidRDefault="0098030B" w:rsidP="007A2321">
            <w:r w:rsidRPr="007A2321">
              <w:t xml:space="preserve">Cílem předmětu je představit pokročilé metody modelování stochastických systémů. Úvod kurzu obstará teorie markovských náhodných procesů jako matematických modelů pro stochastické systémy, tj. dynamické systémy ovlivněné náhodou. Cílem je zejména sledovat limitní chování v čase pro různé procesy ať již s diskrétním, nebo spojitým časem. Studovány jsou i moderní procesy, jako </w:t>
            </w:r>
            <w:proofErr w:type="spellStart"/>
            <w:r w:rsidRPr="007A2321">
              <w:t>Coxův</w:t>
            </w:r>
            <w:proofErr w:type="spellEnd"/>
            <w:r w:rsidRPr="007A2321">
              <w:t xml:space="preserve"> proces, nebo filtrovaný </w:t>
            </w:r>
            <w:proofErr w:type="spellStart"/>
            <w:r w:rsidRPr="007A2321">
              <w:t>Poisonův</w:t>
            </w:r>
            <w:proofErr w:type="spellEnd"/>
            <w:r w:rsidRPr="007A2321">
              <w:t xml:space="preserve"> proces, které nacházejí upla</w:t>
            </w:r>
            <w:r w:rsidR="006B7798" w:rsidRPr="007A2321">
              <w:t>t</w:t>
            </w:r>
            <w:r w:rsidRPr="007A2321">
              <w:t>nění v dopravě, nebo telekomunikacích.</w:t>
            </w:r>
          </w:p>
          <w:p w:rsidR="007A2321" w:rsidRPr="007A2321" w:rsidRDefault="007A2321" w:rsidP="007A2321">
            <w:pPr>
              <w:rPr>
                <w:sz w:val="4"/>
                <w:szCs w:val="4"/>
              </w:rPr>
            </w:pPr>
          </w:p>
          <w:p w:rsidR="0098030B" w:rsidRDefault="0098030B" w:rsidP="007A2321">
            <w:pPr>
              <w:rPr>
                <w:b/>
              </w:rPr>
            </w:pPr>
            <w:r w:rsidRPr="007A2321">
              <w:rPr>
                <w:b/>
              </w:rPr>
              <w:t>Osnova</w:t>
            </w:r>
          </w:p>
          <w:p w:rsidR="007A2321" w:rsidRPr="007A2321" w:rsidRDefault="007A2321" w:rsidP="007A2321">
            <w:pPr>
              <w:rPr>
                <w:b/>
                <w:sz w:val="4"/>
                <w:szCs w:val="4"/>
              </w:rPr>
            </w:pPr>
          </w:p>
          <w:p w:rsidR="0098030B" w:rsidRPr="007A2321" w:rsidRDefault="0098030B" w:rsidP="007A2321">
            <w:pPr>
              <w:pStyle w:val="Odstavecseseznamem"/>
              <w:numPr>
                <w:ilvl w:val="0"/>
                <w:numId w:val="5"/>
              </w:numPr>
              <w:ind w:left="671" w:hanging="426"/>
            </w:pPr>
            <w:r w:rsidRPr="007A2321">
              <w:t xml:space="preserve">Úvod do stochastických systémů, homogenita, </w:t>
            </w:r>
            <w:proofErr w:type="spellStart"/>
            <w:r w:rsidRPr="007A2321">
              <w:t>stacionarita</w:t>
            </w:r>
            <w:proofErr w:type="spellEnd"/>
            <w:r w:rsidRPr="007A2321">
              <w:t>, analýza náhodné procházky a simulace ruinování hráče.</w:t>
            </w:r>
          </w:p>
          <w:p w:rsidR="0098030B" w:rsidRPr="007A2321" w:rsidRDefault="0098030B" w:rsidP="007A2321">
            <w:pPr>
              <w:pStyle w:val="Odstavecseseznamem"/>
              <w:numPr>
                <w:ilvl w:val="0"/>
                <w:numId w:val="5"/>
              </w:numPr>
              <w:ind w:left="671" w:hanging="426"/>
            </w:pPr>
            <w:r w:rsidRPr="007A2321">
              <w:t xml:space="preserve">Diskrétní Markovské řetězce, pravděpodobnosti přechodu, </w:t>
            </w:r>
            <w:proofErr w:type="spellStart"/>
            <w:r w:rsidRPr="007A2321">
              <w:t>Chapman-Kolmogorov</w:t>
            </w:r>
            <w:proofErr w:type="spellEnd"/>
            <w:r w:rsidRPr="007A2321">
              <w:t xml:space="preserve"> </w:t>
            </w:r>
            <w:proofErr w:type="spellStart"/>
            <w:r w:rsidRPr="007A2321">
              <w:t>theorem</w:t>
            </w:r>
            <w:proofErr w:type="spellEnd"/>
            <w:r w:rsidRPr="007A2321">
              <w:t xml:space="preserve">, klasifikace stavů, trvalé a přechodné stavy, </w:t>
            </w:r>
            <w:proofErr w:type="spellStart"/>
            <w:r w:rsidRPr="007A2321">
              <w:t>Ergodic</w:t>
            </w:r>
            <w:proofErr w:type="spellEnd"/>
            <w:r w:rsidRPr="007A2321">
              <w:t xml:space="preserve"> </w:t>
            </w:r>
            <w:proofErr w:type="spellStart"/>
            <w:r w:rsidRPr="007A2321">
              <w:t>theorem</w:t>
            </w:r>
            <w:proofErr w:type="spellEnd"/>
            <w:r w:rsidRPr="007A2321">
              <w:t xml:space="preserve">, stacionární rozdělení, pravděpodobnosti pohlcení, procesy </w:t>
            </w:r>
            <w:proofErr w:type="gramStart"/>
            <w:r w:rsidRPr="007A2321">
              <w:t xml:space="preserve">větvení,  </w:t>
            </w:r>
            <w:proofErr w:type="spellStart"/>
            <w:r w:rsidRPr="007A2321">
              <w:t>Ehrenfestův</w:t>
            </w:r>
            <w:proofErr w:type="spellEnd"/>
            <w:proofErr w:type="gramEnd"/>
            <w:r w:rsidRPr="007A2321">
              <w:t xml:space="preserve"> a </w:t>
            </w:r>
            <w:proofErr w:type="spellStart"/>
            <w:r w:rsidRPr="007A2321">
              <w:t>Bernoulliho</w:t>
            </w:r>
            <w:proofErr w:type="spellEnd"/>
            <w:r w:rsidRPr="007A2321">
              <w:t xml:space="preserve"> proces.</w:t>
            </w:r>
          </w:p>
          <w:p w:rsidR="0098030B" w:rsidRPr="007A2321" w:rsidRDefault="0098030B" w:rsidP="007A2321">
            <w:pPr>
              <w:pStyle w:val="Odstavecseseznamem"/>
              <w:numPr>
                <w:ilvl w:val="0"/>
                <w:numId w:val="5"/>
              </w:numPr>
              <w:ind w:left="671" w:hanging="426"/>
            </w:pPr>
            <w:r w:rsidRPr="007A2321">
              <w:t xml:space="preserve">Markovské procesy se spojitým časem, intenzity přechodu, </w:t>
            </w:r>
            <w:proofErr w:type="spellStart"/>
            <w:r w:rsidRPr="007A2321">
              <w:t>Kolmogorovy</w:t>
            </w:r>
            <w:proofErr w:type="spellEnd"/>
            <w:r w:rsidRPr="007A2321">
              <w:t xml:space="preserve"> rovnice, limitní pravděpodobnosti a stacionární rozdělení.</w:t>
            </w:r>
          </w:p>
          <w:p w:rsidR="0098030B" w:rsidRPr="007A2321" w:rsidRDefault="0098030B" w:rsidP="007A2321">
            <w:pPr>
              <w:pStyle w:val="Odstavecseseznamem"/>
              <w:numPr>
                <w:ilvl w:val="0"/>
                <w:numId w:val="5"/>
              </w:numPr>
              <w:ind w:left="671" w:hanging="426"/>
            </w:pPr>
            <w:r w:rsidRPr="007A2321">
              <w:t>Procesy vzniku a zániku, Procesy obnovy.</w:t>
            </w:r>
          </w:p>
          <w:p w:rsidR="0098030B" w:rsidRPr="007A2321" w:rsidRDefault="0098030B" w:rsidP="007A2321">
            <w:pPr>
              <w:pStyle w:val="Odstavecseseznamem"/>
              <w:numPr>
                <w:ilvl w:val="0"/>
                <w:numId w:val="5"/>
              </w:numPr>
              <w:ind w:left="671" w:hanging="426"/>
            </w:pPr>
            <w:proofErr w:type="spellStart"/>
            <w:r w:rsidRPr="007A2321">
              <w:t>Poissonův</w:t>
            </w:r>
            <w:proofErr w:type="spellEnd"/>
            <w:r w:rsidRPr="007A2321">
              <w:t xml:space="preserve"> proces, </w:t>
            </w:r>
            <w:proofErr w:type="spellStart"/>
            <w:r w:rsidRPr="007A2321">
              <w:t>Coxův</w:t>
            </w:r>
            <w:proofErr w:type="spellEnd"/>
            <w:r w:rsidRPr="007A2321">
              <w:t xml:space="preserve"> </w:t>
            </w:r>
            <w:proofErr w:type="spellStart"/>
            <w:r w:rsidRPr="007A2321">
              <w:t>Dvojtě</w:t>
            </w:r>
            <w:proofErr w:type="spellEnd"/>
            <w:r w:rsidRPr="007A2321">
              <w:t xml:space="preserve">-stochastický proces, </w:t>
            </w:r>
            <w:proofErr w:type="spellStart"/>
            <w:r w:rsidRPr="007A2321">
              <w:t>Nehomogení</w:t>
            </w:r>
            <w:proofErr w:type="spellEnd"/>
            <w:r w:rsidRPr="007A2321">
              <w:t xml:space="preserve"> a filtrovaný </w:t>
            </w:r>
            <w:proofErr w:type="spellStart"/>
            <w:r w:rsidRPr="007A2321">
              <w:t>Poissonův</w:t>
            </w:r>
            <w:proofErr w:type="spellEnd"/>
            <w:r w:rsidRPr="007A2321">
              <w:t xml:space="preserve"> proces.</w:t>
            </w:r>
          </w:p>
          <w:p w:rsidR="0098030B" w:rsidRPr="007A2321" w:rsidRDefault="0098030B" w:rsidP="007A2321">
            <w:pPr>
              <w:pStyle w:val="Odstavecseseznamem"/>
              <w:numPr>
                <w:ilvl w:val="0"/>
                <w:numId w:val="5"/>
              </w:numPr>
              <w:ind w:left="671" w:hanging="426"/>
            </w:pPr>
            <w:r w:rsidRPr="007A2321">
              <w:t>Procesy hromadné obsluhy, teorie front.</w:t>
            </w:r>
          </w:p>
          <w:p w:rsidR="0098030B" w:rsidRPr="007A2321" w:rsidRDefault="0098030B" w:rsidP="007A2321">
            <w:pPr>
              <w:pStyle w:val="Odstavecseseznamem"/>
              <w:numPr>
                <w:ilvl w:val="0"/>
                <w:numId w:val="5"/>
              </w:numPr>
              <w:ind w:left="671" w:hanging="426"/>
            </w:pPr>
            <w:r w:rsidRPr="007A2321">
              <w:t xml:space="preserve">Metoda </w:t>
            </w:r>
            <w:proofErr w:type="spellStart"/>
            <w:r w:rsidRPr="007A2321">
              <w:t>Markov</w:t>
            </w:r>
            <w:proofErr w:type="spellEnd"/>
            <w:r w:rsidRPr="007A2321">
              <w:t xml:space="preserve"> </w:t>
            </w:r>
            <w:proofErr w:type="spellStart"/>
            <w:r w:rsidRPr="007A2321">
              <w:t>Chain</w:t>
            </w:r>
            <w:proofErr w:type="spellEnd"/>
            <w:r w:rsidRPr="007A2321">
              <w:t xml:space="preserve"> Monte Carlo.</w:t>
            </w:r>
          </w:p>
          <w:p w:rsidR="0098030B" w:rsidRPr="007A2321" w:rsidRDefault="0098030B" w:rsidP="007A2321">
            <w:pPr>
              <w:pStyle w:val="Odstavecseseznamem"/>
              <w:numPr>
                <w:ilvl w:val="0"/>
                <w:numId w:val="5"/>
              </w:numPr>
              <w:ind w:left="671" w:hanging="426"/>
            </w:pPr>
            <w:proofErr w:type="spellStart"/>
            <w:r w:rsidRPr="007A2321">
              <w:t>Wienerův</w:t>
            </w:r>
            <w:proofErr w:type="spellEnd"/>
            <w:r w:rsidRPr="007A2321">
              <w:t xml:space="preserve"> proces, vlastnosti trajektorií.</w:t>
            </w:r>
          </w:p>
          <w:p w:rsidR="0098030B" w:rsidRPr="007A2321" w:rsidRDefault="0098030B" w:rsidP="007A2321">
            <w:pPr>
              <w:pStyle w:val="Odstavecseseznamem"/>
              <w:numPr>
                <w:ilvl w:val="0"/>
                <w:numId w:val="5"/>
              </w:numPr>
              <w:ind w:left="671" w:hanging="426"/>
            </w:pPr>
            <w:r w:rsidRPr="007A2321">
              <w:t>Základy stochastické analýzy, limita, derivace, integrál náhodného procesu.</w:t>
            </w:r>
          </w:p>
          <w:p w:rsidR="0098030B" w:rsidRPr="007A2321" w:rsidRDefault="0098030B" w:rsidP="007A2321">
            <w:pPr>
              <w:pStyle w:val="Odstavecseseznamem"/>
              <w:numPr>
                <w:ilvl w:val="0"/>
                <w:numId w:val="5"/>
              </w:numPr>
              <w:ind w:left="671" w:hanging="426"/>
            </w:pPr>
            <w:proofErr w:type="spellStart"/>
            <w:r w:rsidRPr="007A2321">
              <w:t>Karhunen-Loeve</w:t>
            </w:r>
            <w:proofErr w:type="spellEnd"/>
            <w:r w:rsidRPr="007A2321">
              <w:t xml:space="preserve"> rozklad pro obecný náhodný proces a pro </w:t>
            </w:r>
            <w:proofErr w:type="spellStart"/>
            <w:r w:rsidRPr="007A2321">
              <w:t>Wienerův</w:t>
            </w:r>
            <w:proofErr w:type="spellEnd"/>
            <w:r w:rsidRPr="007A2321">
              <w:t xml:space="preserve"> proces.</w:t>
            </w:r>
          </w:p>
          <w:p w:rsidR="0098030B" w:rsidRPr="007A2321" w:rsidRDefault="0098030B" w:rsidP="007A2321">
            <w:pPr>
              <w:pStyle w:val="Odstavecseseznamem"/>
              <w:numPr>
                <w:ilvl w:val="0"/>
                <w:numId w:val="5"/>
              </w:numPr>
              <w:ind w:left="671" w:hanging="426"/>
            </w:pPr>
            <w:r w:rsidRPr="007A2321">
              <w:t xml:space="preserve">Difúzní procesy, zpětná </w:t>
            </w:r>
            <w:proofErr w:type="spellStart"/>
            <w:r w:rsidRPr="007A2321">
              <w:t>Kolmogorova</w:t>
            </w:r>
            <w:proofErr w:type="spellEnd"/>
            <w:r w:rsidRPr="007A2321">
              <w:t xml:space="preserve"> rovnice, </w:t>
            </w:r>
            <w:proofErr w:type="spellStart"/>
            <w:r w:rsidRPr="007A2321">
              <w:t>Fokker</w:t>
            </w:r>
            <w:proofErr w:type="spellEnd"/>
            <w:r w:rsidRPr="007A2321">
              <w:t>-Planckova rovnice.</w:t>
            </w:r>
          </w:p>
        </w:tc>
      </w:tr>
      <w:tr w:rsidR="0098030B" w:rsidTr="007A2321">
        <w:trPr>
          <w:trHeight w:val="340"/>
          <w:jc w:val="center"/>
        </w:trPr>
        <w:tc>
          <w:tcPr>
            <w:tcW w:w="10015" w:type="dxa"/>
            <w:gridSpan w:val="6"/>
            <w:tcBorders>
              <w:top w:val="single" w:sz="2" w:space="0" w:color="auto"/>
              <w:left w:val="single" w:sz="4" w:space="0" w:color="00000A"/>
              <w:bottom w:val="single" w:sz="4" w:space="0" w:color="00000A"/>
              <w:right w:val="single" w:sz="4" w:space="0" w:color="00000A"/>
            </w:tcBorders>
            <w:shd w:val="clear" w:color="auto" w:fill="F7CAAC"/>
            <w:vAlign w:val="center"/>
          </w:tcPr>
          <w:p w:rsidR="0098030B" w:rsidRPr="007A2321" w:rsidRDefault="0098030B" w:rsidP="007A2321">
            <w:r w:rsidRPr="007A2321">
              <w:rPr>
                <w:b/>
              </w:rPr>
              <w:t>Studijní literatura a studijní pomůcky</w:t>
            </w:r>
          </w:p>
        </w:tc>
      </w:tr>
      <w:tr w:rsidR="0098030B" w:rsidTr="007A2321">
        <w:trPr>
          <w:trHeight w:val="340"/>
          <w:jc w:val="center"/>
        </w:trPr>
        <w:tc>
          <w:tcPr>
            <w:tcW w:w="1001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8030B" w:rsidRPr="007A2321" w:rsidRDefault="0098030B" w:rsidP="007A2321">
            <w:pPr>
              <w:spacing w:after="60"/>
              <w:rPr>
                <w:b/>
                <w:bCs/>
              </w:rPr>
            </w:pPr>
            <w:r w:rsidRPr="007A2321">
              <w:rPr>
                <w:b/>
                <w:bCs/>
              </w:rPr>
              <w:t>Povinná literatura</w:t>
            </w:r>
          </w:p>
          <w:p w:rsidR="0098030B" w:rsidRPr="007A2321" w:rsidRDefault="0098030B" w:rsidP="00093CD0">
            <w:pPr>
              <w:pStyle w:val="Odstavecseseznamem"/>
              <w:widowControl w:val="0"/>
              <w:numPr>
                <w:ilvl w:val="3"/>
                <w:numId w:val="1"/>
              </w:numPr>
              <w:ind w:left="245" w:hanging="245"/>
            </w:pPr>
            <w:r w:rsidRPr="007A2321">
              <w:t xml:space="preserve">G. </w:t>
            </w:r>
            <w:proofErr w:type="spellStart"/>
            <w:r w:rsidRPr="007A2321">
              <w:t>Grimmett</w:t>
            </w:r>
            <w:proofErr w:type="spellEnd"/>
            <w:r w:rsidRPr="007A2321">
              <w:t xml:space="preserve">, D. </w:t>
            </w:r>
            <w:proofErr w:type="spellStart"/>
            <w:r w:rsidRPr="007A2321">
              <w:t>Stirzaker</w:t>
            </w:r>
            <w:proofErr w:type="spellEnd"/>
            <w:r w:rsidRPr="007A2321">
              <w:t xml:space="preserve">: Probability and </w:t>
            </w:r>
            <w:proofErr w:type="spellStart"/>
            <w:r w:rsidRPr="007A2321">
              <w:t>Random</w:t>
            </w:r>
            <w:proofErr w:type="spellEnd"/>
            <w:r w:rsidRPr="007A2321">
              <w:t xml:space="preserve"> </w:t>
            </w:r>
            <w:proofErr w:type="spellStart"/>
            <w:r w:rsidRPr="007A2321">
              <w:t>Processes</w:t>
            </w:r>
            <w:proofErr w:type="spellEnd"/>
            <w:r w:rsidRPr="007A2321">
              <w:t xml:space="preserve">, Oxford </w:t>
            </w:r>
            <w:proofErr w:type="spellStart"/>
            <w:r w:rsidRPr="007A2321">
              <w:t>Uni</w:t>
            </w:r>
            <w:proofErr w:type="spellEnd"/>
            <w:r w:rsidRPr="007A2321">
              <w:t xml:space="preserve">. </w:t>
            </w:r>
            <w:proofErr w:type="spellStart"/>
            <w:r w:rsidRPr="007A2321">
              <w:t>press</w:t>
            </w:r>
            <w:proofErr w:type="spellEnd"/>
            <w:r w:rsidRPr="007A2321">
              <w:t>, 2001.</w:t>
            </w:r>
          </w:p>
          <w:p w:rsidR="0098030B" w:rsidRPr="007A2321" w:rsidRDefault="0098030B" w:rsidP="00093CD0">
            <w:pPr>
              <w:pStyle w:val="Odstavecseseznamem"/>
              <w:widowControl w:val="0"/>
              <w:numPr>
                <w:ilvl w:val="3"/>
                <w:numId w:val="1"/>
              </w:numPr>
              <w:ind w:left="245" w:hanging="245"/>
              <w:rPr>
                <w:lang w:val="en-US"/>
              </w:rPr>
            </w:pPr>
            <w:r w:rsidRPr="007A2321">
              <w:t xml:space="preserve">N. </w:t>
            </w:r>
            <w:proofErr w:type="spellStart"/>
            <w:r w:rsidRPr="007A2321">
              <w:t>Privault</w:t>
            </w:r>
            <w:proofErr w:type="spellEnd"/>
            <w:r w:rsidRPr="007A2321">
              <w:t xml:space="preserve">: </w:t>
            </w:r>
            <w:proofErr w:type="spellStart"/>
            <w:r w:rsidRPr="007A2321">
              <w:t>Understanding</w:t>
            </w:r>
            <w:proofErr w:type="spellEnd"/>
            <w:r w:rsidRPr="007A2321">
              <w:t xml:space="preserve"> </w:t>
            </w:r>
            <w:proofErr w:type="spellStart"/>
            <w:r w:rsidRPr="007A2321">
              <w:t>Markov</w:t>
            </w:r>
            <w:proofErr w:type="spellEnd"/>
            <w:r w:rsidRPr="007A2321">
              <w:t xml:space="preserve"> </w:t>
            </w:r>
            <w:proofErr w:type="spellStart"/>
            <w:r w:rsidRPr="007A2321">
              <w:t>Chains</w:t>
            </w:r>
            <w:proofErr w:type="spellEnd"/>
            <w:r w:rsidRPr="007A2321">
              <w:t xml:space="preserve">: </w:t>
            </w:r>
            <w:proofErr w:type="spellStart"/>
            <w:r w:rsidRPr="007A2321">
              <w:t>Examples</w:t>
            </w:r>
            <w:proofErr w:type="spellEnd"/>
            <w:r w:rsidRPr="007A2321">
              <w:t xml:space="preserve"> and </w:t>
            </w:r>
            <w:proofErr w:type="spellStart"/>
            <w:r w:rsidRPr="007A2321">
              <w:t>Applications</w:t>
            </w:r>
            <w:proofErr w:type="spellEnd"/>
            <w:r w:rsidRPr="007A2321">
              <w:t xml:space="preserve">, </w:t>
            </w:r>
            <w:proofErr w:type="spellStart"/>
            <w:r w:rsidRPr="007A2321">
              <w:t>Springer</w:t>
            </w:r>
            <w:bookmarkStart w:id="0" w:name="_GoBack"/>
            <w:bookmarkEnd w:id="0"/>
            <w:proofErr w:type="spellEnd"/>
            <w:r w:rsidRPr="007A2321">
              <w:t>, 2013.</w:t>
            </w:r>
          </w:p>
          <w:p w:rsidR="0098030B" w:rsidRPr="007A2321" w:rsidRDefault="0098030B" w:rsidP="00093CD0">
            <w:pPr>
              <w:spacing w:after="60"/>
              <w:ind w:left="245" w:hanging="245"/>
              <w:rPr>
                <w:b/>
                <w:bCs/>
              </w:rPr>
            </w:pPr>
            <w:r w:rsidRPr="007A2321">
              <w:rPr>
                <w:b/>
                <w:bCs/>
              </w:rPr>
              <w:t>Doporučená literatura</w:t>
            </w:r>
          </w:p>
          <w:p w:rsidR="0098030B" w:rsidRPr="007A2321" w:rsidRDefault="0098030B" w:rsidP="00093CD0">
            <w:pPr>
              <w:pStyle w:val="Odstavecseseznamem"/>
              <w:widowControl w:val="0"/>
              <w:numPr>
                <w:ilvl w:val="3"/>
                <w:numId w:val="1"/>
              </w:numPr>
              <w:ind w:left="245" w:hanging="245"/>
            </w:pPr>
            <w:r w:rsidRPr="007A2321">
              <w:t xml:space="preserve">M. </w:t>
            </w:r>
            <w:proofErr w:type="spellStart"/>
            <w:r w:rsidRPr="007A2321">
              <w:t>Lefebvre</w:t>
            </w:r>
            <w:proofErr w:type="spellEnd"/>
            <w:r w:rsidRPr="007A2321">
              <w:t xml:space="preserve">: </w:t>
            </w:r>
            <w:proofErr w:type="spellStart"/>
            <w:r w:rsidRPr="007A2321">
              <w:t>Applied</w:t>
            </w:r>
            <w:proofErr w:type="spellEnd"/>
            <w:r w:rsidRPr="007A2321">
              <w:t xml:space="preserve"> </w:t>
            </w:r>
            <w:proofErr w:type="spellStart"/>
            <w:r w:rsidRPr="007A2321">
              <w:t>Stochastic</w:t>
            </w:r>
            <w:proofErr w:type="spellEnd"/>
            <w:r w:rsidRPr="007A2321">
              <w:t xml:space="preserve"> </w:t>
            </w:r>
            <w:proofErr w:type="spellStart"/>
            <w:r w:rsidRPr="007A2321">
              <w:t>Processes</w:t>
            </w:r>
            <w:proofErr w:type="spellEnd"/>
            <w:r w:rsidRPr="007A2321">
              <w:t xml:space="preserve">, </w:t>
            </w:r>
            <w:proofErr w:type="spellStart"/>
            <w:r w:rsidRPr="007A2321">
              <w:t>Springer</w:t>
            </w:r>
            <w:proofErr w:type="spellEnd"/>
            <w:r w:rsidRPr="007A2321">
              <w:t>, 2000.</w:t>
            </w:r>
          </w:p>
          <w:p w:rsidR="0098030B" w:rsidRPr="007A2321" w:rsidRDefault="0098030B" w:rsidP="00093CD0">
            <w:pPr>
              <w:pStyle w:val="Odstavecseseznamem"/>
              <w:numPr>
                <w:ilvl w:val="3"/>
                <w:numId w:val="1"/>
              </w:numPr>
              <w:spacing w:after="60"/>
              <w:ind w:left="245" w:hanging="245"/>
            </w:pPr>
            <w:r w:rsidRPr="007A2321">
              <w:rPr>
                <w:bCs/>
              </w:rPr>
              <w:t xml:space="preserve">G. A. </w:t>
            </w:r>
            <w:proofErr w:type="spellStart"/>
            <w:r w:rsidRPr="007A2321">
              <w:rPr>
                <w:bCs/>
              </w:rPr>
              <w:t>Pavliotis</w:t>
            </w:r>
            <w:proofErr w:type="spellEnd"/>
            <w:r w:rsidRPr="007A2321">
              <w:rPr>
                <w:bCs/>
              </w:rPr>
              <w:t xml:space="preserve">: </w:t>
            </w:r>
            <w:proofErr w:type="spellStart"/>
            <w:r w:rsidRPr="007A2321">
              <w:rPr>
                <w:bCs/>
              </w:rPr>
              <w:t>Stochastic</w:t>
            </w:r>
            <w:proofErr w:type="spellEnd"/>
            <w:r w:rsidRPr="007A2321">
              <w:rPr>
                <w:bCs/>
              </w:rPr>
              <w:t xml:space="preserve"> </w:t>
            </w:r>
            <w:proofErr w:type="spellStart"/>
            <w:r w:rsidRPr="007A2321">
              <w:rPr>
                <w:bCs/>
              </w:rPr>
              <w:t>Processes</w:t>
            </w:r>
            <w:proofErr w:type="spellEnd"/>
            <w:r w:rsidRPr="007A2321">
              <w:rPr>
                <w:bCs/>
              </w:rPr>
              <w:t xml:space="preserve"> and </w:t>
            </w:r>
            <w:proofErr w:type="spellStart"/>
            <w:proofErr w:type="gramStart"/>
            <w:r w:rsidRPr="007A2321">
              <w:rPr>
                <w:bCs/>
              </w:rPr>
              <w:t>Applications</w:t>
            </w:r>
            <w:proofErr w:type="spellEnd"/>
            <w:r w:rsidRPr="007A2321">
              <w:rPr>
                <w:bCs/>
              </w:rPr>
              <w:t xml:space="preserve">,  </w:t>
            </w:r>
            <w:proofErr w:type="spellStart"/>
            <w:r w:rsidRPr="007A2321">
              <w:rPr>
                <w:bCs/>
              </w:rPr>
              <w:t>Springer</w:t>
            </w:r>
            <w:proofErr w:type="spellEnd"/>
            <w:proofErr w:type="gramEnd"/>
            <w:r w:rsidRPr="007A2321">
              <w:rPr>
                <w:bCs/>
              </w:rPr>
              <w:t>, 2014.</w:t>
            </w:r>
          </w:p>
        </w:tc>
      </w:tr>
    </w:tbl>
    <w:p w:rsidR="004E3310" w:rsidRDefault="004E3310"/>
    <w:sectPr w:rsidR="004E3310" w:rsidSect="006B7798">
      <w:footerReference w:type="default" r:id="rId8"/>
      <w:pgSz w:w="11906" w:h="16838"/>
      <w:pgMar w:top="1417" w:right="1417" w:bottom="1276" w:left="1417" w:header="0" w:footer="708"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59" w:rsidRDefault="00183E3D">
      <w:r>
        <w:separator/>
      </w:r>
    </w:p>
  </w:endnote>
  <w:endnote w:type="continuationSeparator" w:id="0">
    <w:p w:rsidR="00835659" w:rsidRDefault="0018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01"/>
    <w:family w:val="roman"/>
    <w:pitch w:val="variable"/>
  </w:font>
  <w:font w:name="WenQuanYi Zen Hei">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10" w:rsidRDefault="00183E3D">
    <w:pPr>
      <w:pStyle w:val="Zpat"/>
    </w:pPr>
    <w:r>
      <w:rPr>
        <w:noProof/>
      </w:rPr>
      <mc:AlternateContent>
        <mc:Choice Requires="wps">
          <w:drawing>
            <wp:anchor distT="0" distB="0" distL="0" distR="0" simplePos="0" relativeHeight="2" behindDoc="1" locked="0" layoutInCell="1" allowOverlap="1" wp14:anchorId="7655D8E3" wp14:editId="566E70E7">
              <wp:simplePos x="0" y="0"/>
              <wp:positionH relativeFrom="margin">
                <wp:align>center</wp:align>
              </wp:positionH>
              <wp:positionV relativeFrom="paragraph">
                <wp:posOffset>635</wp:posOffset>
              </wp:positionV>
              <wp:extent cx="66675" cy="13462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5880" cy="133920"/>
                      </a:xfrm>
                      <a:prstGeom prst="rect">
                        <a:avLst/>
                      </a:prstGeom>
                      <a:noFill/>
                      <a:ln>
                        <a:noFill/>
                      </a:ln>
                    </wps:spPr>
                    <wps:style>
                      <a:lnRef idx="0">
                        <a:scrgbClr r="0" g="0" b="0"/>
                      </a:lnRef>
                      <a:fillRef idx="0">
                        <a:scrgbClr r="0" g="0" b="0"/>
                      </a:fillRef>
                      <a:effectRef idx="0">
                        <a:scrgbClr r="0" g="0" b="0"/>
                      </a:effectRef>
                      <a:fontRef idx="minor"/>
                    </wps:style>
                    <wps:txbx>
                      <w:txbxContent>
                        <w:p w:rsidR="004E3310" w:rsidRDefault="00183E3D">
                          <w:pPr>
                            <w:pStyle w:val="Zpat"/>
                          </w:pPr>
                          <w:r>
                            <w:rPr>
                              <w:rStyle w:val="slostrnky"/>
                              <w:color w:val="000000"/>
                            </w:rPr>
                            <w:fldChar w:fldCharType="begin"/>
                          </w:r>
                          <w:r>
                            <w:rPr>
                              <w:rStyle w:val="slostrnky"/>
                            </w:rPr>
                            <w:instrText>PAGE</w:instrText>
                          </w:r>
                          <w:r>
                            <w:rPr>
                              <w:rStyle w:val="slostrnky"/>
                            </w:rPr>
                            <w:fldChar w:fldCharType="separate"/>
                          </w:r>
                          <w:r w:rsidR="0098030B">
                            <w:rPr>
                              <w:rStyle w:val="slostrnky"/>
                              <w:noProof/>
                            </w:rPr>
                            <w:t>2</w:t>
                          </w:r>
                          <w:r>
                            <w:rPr>
                              <w:rStyle w:val="slostrnky"/>
                            </w:rPr>
                            <w:fldChar w:fldCharType="end"/>
                          </w:r>
                        </w:p>
                      </w:txbxContent>
                    </wps:txbx>
                    <wps:bodyPr lIns="0" tIns="0" rIns="0" bIns="0">
                      <a:spAutoFit/>
                    </wps:bodyPr>
                  </wps:wsp>
                </a:graphicData>
              </a:graphic>
            </wp:anchor>
          </w:drawing>
        </mc:Choice>
        <mc:Fallback>
          <w:pict>
            <v:rect id="Frame1" o:spid="_x0000_s1026" style="position:absolute;margin-left:0;margin-top:.05pt;width:5.25pt;height:10.6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" filled="f" stroked="f">
              <v:textbox style="mso-fit-shape-to-text:t" inset="0,0,0,0">
                <w:txbxContent>
                  <w:p w:rsidR="004E3310" w:rsidRDefault="00183E3D">
                    <w:pPr>
                      <w:pStyle w:val="Zpat"/>
                    </w:pPr>
                    <w:r>
                      <w:rPr>
                        <w:rStyle w:val="slostrnky"/>
                        <w:color w:val="000000"/>
                      </w:rPr>
                      <w:fldChar w:fldCharType="begin"/>
                    </w:r>
                    <w:r>
                      <w:rPr>
                        <w:rStyle w:val="slostrnky"/>
                      </w:rPr>
                      <w:instrText>PAGE</w:instrText>
                    </w:r>
                    <w:r>
                      <w:rPr>
                        <w:rStyle w:val="slostrnky"/>
                      </w:rPr>
                      <w:fldChar w:fldCharType="separate"/>
                    </w:r>
                    <w:r w:rsidR="0098030B">
                      <w:rPr>
                        <w:rStyle w:val="slostrnky"/>
                        <w:noProof/>
                      </w:rPr>
                      <w:t>2</w:t>
                    </w:r>
                    <w:r>
                      <w:rPr>
                        <w:rStyle w:val="slostrnk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59" w:rsidRDefault="00183E3D">
      <w:r>
        <w:separator/>
      </w:r>
    </w:p>
  </w:footnote>
  <w:footnote w:type="continuationSeparator" w:id="0">
    <w:p w:rsidR="00835659" w:rsidRDefault="0018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FB2"/>
    <w:multiLevelType w:val="multilevel"/>
    <w:tmpl w:val="8690B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94B30"/>
    <w:multiLevelType w:val="multilevel"/>
    <w:tmpl w:val="8690B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776CD0"/>
    <w:multiLevelType w:val="multilevel"/>
    <w:tmpl w:val="8690B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864EB8"/>
    <w:multiLevelType w:val="hybridMultilevel"/>
    <w:tmpl w:val="711EE994"/>
    <w:lvl w:ilvl="0" w:tplc="0405000F">
      <w:start w:val="1"/>
      <w:numFmt w:val="decimal"/>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4">
    <w:nsid w:val="4B536E8A"/>
    <w:multiLevelType w:val="multilevel"/>
    <w:tmpl w:val="023C22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10"/>
    <w:rsid w:val="00093CD0"/>
    <w:rsid w:val="00183E3D"/>
    <w:rsid w:val="004E3310"/>
    <w:rsid w:val="006B7798"/>
    <w:rsid w:val="006D1094"/>
    <w:rsid w:val="007A2321"/>
    <w:rsid w:val="00835659"/>
    <w:rsid w:val="00874A1C"/>
    <w:rsid w:val="0098030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01C"/>
    <w:rPr>
      <w:rFonts w:ascii="Times New Roman" w:eastAsia="Times New Roman" w:hAnsi="Times New Roman" w:cs="Times New Roman"/>
      <w:color w:val="00000A"/>
      <w:szCs w:val="20"/>
    </w:rPr>
  </w:style>
  <w:style w:type="paragraph" w:styleId="Nadpis1">
    <w:name w:val="heading 1"/>
    <w:basedOn w:val="Normln"/>
    <w:next w:val="Normln"/>
    <w:link w:val="Nadpis1Char"/>
    <w:uiPriority w:val="9"/>
    <w:qFormat/>
    <w:locked/>
    <w:rsid w:val="00E9428F"/>
    <w:pPr>
      <w:keepNext/>
      <w:spacing w:before="240" w:after="60"/>
      <w:outlineLvl w:val="0"/>
    </w:pPr>
    <w:rPr>
      <w:rFonts w:ascii="Calibri Light" w:hAnsi="Calibri Light"/>
      <w:b/>
      <w:bCs/>
      <w:kern w:val="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locked/>
    <w:rsid w:val="006E29E2"/>
    <w:rPr>
      <w:rFonts w:ascii="Times New Roman" w:hAnsi="Times New Roman" w:cs="Times New Roman"/>
      <w:sz w:val="2"/>
    </w:rPr>
  </w:style>
  <w:style w:type="character" w:customStyle="1" w:styleId="ZpatChar">
    <w:name w:val="Zápatí Char"/>
    <w:basedOn w:val="Standardnpsmoodstavce"/>
    <w:link w:val="Zpat"/>
    <w:uiPriority w:val="99"/>
    <w:qFormat/>
    <w:locked/>
    <w:rsid w:val="00A952B2"/>
    <w:rPr>
      <w:rFonts w:eastAsia="Times New Roman" w:cs="Times New Roman"/>
      <w:lang w:val="cs-CZ" w:eastAsia="cs-CZ" w:bidi="ar-SA"/>
    </w:rPr>
  </w:style>
  <w:style w:type="character" w:styleId="slostrnky">
    <w:name w:val="page number"/>
    <w:basedOn w:val="Standardnpsmoodstavce"/>
    <w:uiPriority w:val="99"/>
    <w:qFormat/>
    <w:rsid w:val="00A952B2"/>
    <w:rPr>
      <w:rFonts w:cs="Times New Roman"/>
    </w:rPr>
  </w:style>
  <w:style w:type="character" w:customStyle="1" w:styleId="ZhlavChar">
    <w:name w:val="Záhlaví Char"/>
    <w:basedOn w:val="Standardnpsmoodstavce"/>
    <w:link w:val="Zhlav"/>
    <w:uiPriority w:val="99"/>
    <w:semiHidden/>
    <w:qFormat/>
    <w:locked/>
    <w:rsid w:val="006E29E2"/>
    <w:rPr>
      <w:rFonts w:ascii="Times New Roman" w:hAnsi="Times New Roman" w:cs="Times New Roman"/>
      <w:sz w:val="20"/>
      <w:szCs w:val="20"/>
    </w:rPr>
  </w:style>
  <w:style w:type="character" w:customStyle="1" w:styleId="Nadpis1Char">
    <w:name w:val="Nadpis 1 Char"/>
    <w:basedOn w:val="Standardnpsmoodstavce"/>
    <w:link w:val="Nadpis1"/>
    <w:uiPriority w:val="9"/>
    <w:qFormat/>
    <w:rsid w:val="00E9428F"/>
    <w:rPr>
      <w:rFonts w:ascii="Calibri Light" w:eastAsia="Times New Roman" w:hAnsi="Calibri Light" w:cs="Times New Roman"/>
      <w:b/>
      <w:bCs/>
      <w:kern w:val="2"/>
      <w:sz w:val="32"/>
      <w:szCs w:val="32"/>
    </w:rPr>
  </w:style>
  <w:style w:type="character" w:styleId="Siln">
    <w:name w:val="Strong"/>
    <w:uiPriority w:val="22"/>
    <w:qFormat/>
    <w:locked/>
    <w:rsid w:val="00E9428F"/>
    <w:rPr>
      <w:b/>
      <w:bCs/>
    </w:rPr>
  </w:style>
  <w:style w:type="paragraph" w:customStyle="1" w:styleId="Heading">
    <w:name w:val="Heading"/>
    <w:basedOn w:val="Normln"/>
    <w:next w:val="Zkladntext"/>
    <w:qFormat/>
    <w:pPr>
      <w:keepNext/>
      <w:spacing w:before="240" w:after="120"/>
    </w:pPr>
    <w:rPr>
      <w:rFonts w:ascii="Liberation Sans" w:eastAsia="WenQuanYi Zen Hei"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bubliny">
    <w:name w:val="Balloon Text"/>
    <w:basedOn w:val="Normln"/>
    <w:link w:val="TextbublinyChar"/>
    <w:uiPriority w:val="99"/>
    <w:semiHidden/>
    <w:qFormat/>
    <w:rsid w:val="00AC1890"/>
    <w:rPr>
      <w:rFonts w:ascii="Tahoma" w:eastAsia="Calibri" w:hAnsi="Tahoma" w:cs="Tahoma"/>
      <w:sz w:val="16"/>
      <w:szCs w:val="16"/>
    </w:rPr>
  </w:style>
  <w:style w:type="paragraph" w:styleId="Zpat">
    <w:name w:val="footer"/>
    <w:basedOn w:val="Normln"/>
    <w:link w:val="ZpatChar"/>
    <w:uiPriority w:val="99"/>
    <w:rsid w:val="00A952B2"/>
    <w:pPr>
      <w:tabs>
        <w:tab w:val="center" w:pos="4536"/>
        <w:tab w:val="right" w:pos="9072"/>
      </w:tabs>
    </w:pPr>
  </w:style>
  <w:style w:type="paragraph" w:styleId="Zhlav">
    <w:name w:val="header"/>
    <w:basedOn w:val="Normln"/>
    <w:link w:val="ZhlavChar"/>
    <w:uiPriority w:val="99"/>
    <w:rsid w:val="00A952B2"/>
    <w:pPr>
      <w:tabs>
        <w:tab w:val="center" w:pos="4536"/>
        <w:tab w:val="right" w:pos="9072"/>
      </w:tabs>
    </w:pPr>
  </w:style>
  <w:style w:type="paragraph" w:customStyle="1" w:styleId="FrameContents">
    <w:name w:val="Frame Contents"/>
    <w:basedOn w:val="Normln"/>
    <w:qFormat/>
  </w:style>
  <w:style w:type="paragraph" w:customStyle="1" w:styleId="TableContents">
    <w:name w:val="Table Contents"/>
    <w:basedOn w:val="Normln"/>
    <w:qFormat/>
    <w:pPr>
      <w:suppressLineNumbers/>
    </w:pPr>
  </w:style>
  <w:style w:type="paragraph" w:customStyle="1" w:styleId="TableHeading">
    <w:name w:val="Table Heading"/>
    <w:basedOn w:val="TableContents"/>
    <w:qFormat/>
    <w:pPr>
      <w:jc w:val="center"/>
    </w:pPr>
    <w:rPr>
      <w:b/>
      <w:bCs/>
    </w:rPr>
  </w:style>
  <w:style w:type="paragraph" w:styleId="Odstavecseseznamem">
    <w:name w:val="List Paragraph"/>
    <w:basedOn w:val="Normln"/>
    <w:uiPriority w:val="34"/>
    <w:qFormat/>
    <w:rsid w:val="00980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01C"/>
    <w:rPr>
      <w:rFonts w:ascii="Times New Roman" w:eastAsia="Times New Roman" w:hAnsi="Times New Roman" w:cs="Times New Roman"/>
      <w:color w:val="00000A"/>
      <w:szCs w:val="20"/>
    </w:rPr>
  </w:style>
  <w:style w:type="paragraph" w:styleId="Nadpis1">
    <w:name w:val="heading 1"/>
    <w:basedOn w:val="Normln"/>
    <w:next w:val="Normln"/>
    <w:link w:val="Nadpis1Char"/>
    <w:uiPriority w:val="9"/>
    <w:qFormat/>
    <w:locked/>
    <w:rsid w:val="00E9428F"/>
    <w:pPr>
      <w:keepNext/>
      <w:spacing w:before="240" w:after="60"/>
      <w:outlineLvl w:val="0"/>
    </w:pPr>
    <w:rPr>
      <w:rFonts w:ascii="Calibri Light" w:hAnsi="Calibri Light"/>
      <w:b/>
      <w:bCs/>
      <w:kern w:val="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locked/>
    <w:rsid w:val="006E29E2"/>
    <w:rPr>
      <w:rFonts w:ascii="Times New Roman" w:hAnsi="Times New Roman" w:cs="Times New Roman"/>
      <w:sz w:val="2"/>
    </w:rPr>
  </w:style>
  <w:style w:type="character" w:customStyle="1" w:styleId="ZpatChar">
    <w:name w:val="Zápatí Char"/>
    <w:basedOn w:val="Standardnpsmoodstavce"/>
    <w:link w:val="Zpat"/>
    <w:uiPriority w:val="99"/>
    <w:qFormat/>
    <w:locked/>
    <w:rsid w:val="00A952B2"/>
    <w:rPr>
      <w:rFonts w:eastAsia="Times New Roman" w:cs="Times New Roman"/>
      <w:lang w:val="cs-CZ" w:eastAsia="cs-CZ" w:bidi="ar-SA"/>
    </w:rPr>
  </w:style>
  <w:style w:type="character" w:styleId="slostrnky">
    <w:name w:val="page number"/>
    <w:basedOn w:val="Standardnpsmoodstavce"/>
    <w:uiPriority w:val="99"/>
    <w:qFormat/>
    <w:rsid w:val="00A952B2"/>
    <w:rPr>
      <w:rFonts w:cs="Times New Roman"/>
    </w:rPr>
  </w:style>
  <w:style w:type="character" w:customStyle="1" w:styleId="ZhlavChar">
    <w:name w:val="Záhlaví Char"/>
    <w:basedOn w:val="Standardnpsmoodstavce"/>
    <w:link w:val="Zhlav"/>
    <w:uiPriority w:val="99"/>
    <w:semiHidden/>
    <w:qFormat/>
    <w:locked/>
    <w:rsid w:val="006E29E2"/>
    <w:rPr>
      <w:rFonts w:ascii="Times New Roman" w:hAnsi="Times New Roman" w:cs="Times New Roman"/>
      <w:sz w:val="20"/>
      <w:szCs w:val="20"/>
    </w:rPr>
  </w:style>
  <w:style w:type="character" w:customStyle="1" w:styleId="Nadpis1Char">
    <w:name w:val="Nadpis 1 Char"/>
    <w:basedOn w:val="Standardnpsmoodstavce"/>
    <w:link w:val="Nadpis1"/>
    <w:uiPriority w:val="9"/>
    <w:qFormat/>
    <w:rsid w:val="00E9428F"/>
    <w:rPr>
      <w:rFonts w:ascii="Calibri Light" w:eastAsia="Times New Roman" w:hAnsi="Calibri Light" w:cs="Times New Roman"/>
      <w:b/>
      <w:bCs/>
      <w:kern w:val="2"/>
      <w:sz w:val="32"/>
      <w:szCs w:val="32"/>
    </w:rPr>
  </w:style>
  <w:style w:type="character" w:styleId="Siln">
    <w:name w:val="Strong"/>
    <w:uiPriority w:val="22"/>
    <w:qFormat/>
    <w:locked/>
    <w:rsid w:val="00E9428F"/>
    <w:rPr>
      <w:b/>
      <w:bCs/>
    </w:rPr>
  </w:style>
  <w:style w:type="paragraph" w:customStyle="1" w:styleId="Heading">
    <w:name w:val="Heading"/>
    <w:basedOn w:val="Normln"/>
    <w:next w:val="Zkladntext"/>
    <w:qFormat/>
    <w:pPr>
      <w:keepNext/>
      <w:spacing w:before="240" w:after="120"/>
    </w:pPr>
    <w:rPr>
      <w:rFonts w:ascii="Liberation Sans" w:eastAsia="WenQuanYi Zen Hei"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Textbubliny">
    <w:name w:val="Balloon Text"/>
    <w:basedOn w:val="Normln"/>
    <w:link w:val="TextbublinyChar"/>
    <w:uiPriority w:val="99"/>
    <w:semiHidden/>
    <w:qFormat/>
    <w:rsid w:val="00AC1890"/>
    <w:rPr>
      <w:rFonts w:ascii="Tahoma" w:eastAsia="Calibri" w:hAnsi="Tahoma" w:cs="Tahoma"/>
      <w:sz w:val="16"/>
      <w:szCs w:val="16"/>
    </w:rPr>
  </w:style>
  <w:style w:type="paragraph" w:styleId="Zpat">
    <w:name w:val="footer"/>
    <w:basedOn w:val="Normln"/>
    <w:link w:val="ZpatChar"/>
    <w:uiPriority w:val="99"/>
    <w:rsid w:val="00A952B2"/>
    <w:pPr>
      <w:tabs>
        <w:tab w:val="center" w:pos="4536"/>
        <w:tab w:val="right" w:pos="9072"/>
      </w:tabs>
    </w:pPr>
  </w:style>
  <w:style w:type="paragraph" w:styleId="Zhlav">
    <w:name w:val="header"/>
    <w:basedOn w:val="Normln"/>
    <w:link w:val="ZhlavChar"/>
    <w:uiPriority w:val="99"/>
    <w:rsid w:val="00A952B2"/>
    <w:pPr>
      <w:tabs>
        <w:tab w:val="center" w:pos="4536"/>
        <w:tab w:val="right" w:pos="9072"/>
      </w:tabs>
    </w:pPr>
  </w:style>
  <w:style w:type="paragraph" w:customStyle="1" w:styleId="FrameContents">
    <w:name w:val="Frame Contents"/>
    <w:basedOn w:val="Normln"/>
    <w:qFormat/>
  </w:style>
  <w:style w:type="paragraph" w:customStyle="1" w:styleId="TableContents">
    <w:name w:val="Table Contents"/>
    <w:basedOn w:val="Normln"/>
    <w:qFormat/>
    <w:pPr>
      <w:suppressLineNumbers/>
    </w:pPr>
  </w:style>
  <w:style w:type="paragraph" w:customStyle="1" w:styleId="TableHeading">
    <w:name w:val="Table Heading"/>
    <w:basedOn w:val="TableContents"/>
    <w:qFormat/>
    <w:pPr>
      <w:jc w:val="center"/>
    </w:pPr>
    <w:rPr>
      <w:b/>
      <w:bCs/>
    </w:rPr>
  </w:style>
  <w:style w:type="paragraph" w:styleId="Odstavecseseznamem">
    <w:name w:val="List Paragraph"/>
    <w:basedOn w:val="Normln"/>
    <w:uiPriority w:val="34"/>
    <w:qFormat/>
    <w:rsid w:val="009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FJFI ČVUT v Praze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Masáková</dc:creator>
  <cp:lastModifiedBy>Kateřina Medková</cp:lastModifiedBy>
  <cp:revision>7</cp:revision>
  <dcterms:created xsi:type="dcterms:W3CDTF">2018-04-30T10:33:00Z</dcterms:created>
  <dcterms:modified xsi:type="dcterms:W3CDTF">2018-04-30T13:30:00Z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FJFI ČVUT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